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1152" w:rsidRPr="00EC1152" w:rsidRDefault="00EC1152" w:rsidP="00EC1152">
      <w:pPr>
        <w:pStyle w:val="Default"/>
        <w:spacing w:line="360" w:lineRule="auto"/>
      </w:pPr>
    </w:p>
    <w:p w:rsidR="00EC1152" w:rsidRPr="00EC1152" w:rsidRDefault="00EC1152" w:rsidP="00EC1152">
      <w:pPr>
        <w:pStyle w:val="Default"/>
        <w:spacing w:before="120" w:after="120" w:line="360" w:lineRule="auto"/>
        <w:jc w:val="right"/>
      </w:pPr>
      <w:r w:rsidRPr="00EC1152">
        <w:t xml:space="preserve"> </w:t>
      </w:r>
      <w:r w:rsidRPr="00EC1152">
        <w:rPr>
          <w:b/>
          <w:bCs/>
          <w:u w:val="single"/>
        </w:rPr>
        <w:t xml:space="preserve">Research Article </w:t>
      </w:r>
    </w:p>
    <w:p w:rsidR="00EC1152" w:rsidRPr="00EC1152" w:rsidRDefault="00EC1152" w:rsidP="00EC1152">
      <w:pPr>
        <w:pStyle w:val="Default"/>
        <w:spacing w:line="360" w:lineRule="auto"/>
      </w:pPr>
      <w:proofErr w:type="spellStart"/>
      <w:r w:rsidRPr="00EC1152">
        <w:rPr>
          <w:rFonts w:ascii="Bradley Hand ITC" w:hAnsi="Bradley Hand ITC" w:cs="Bradley Hand ITC"/>
        </w:rPr>
        <w:t>AAccaaddeemmiicc</w:t>
      </w:r>
      <w:proofErr w:type="spellEnd"/>
      <w:r w:rsidRPr="00EC1152">
        <w:rPr>
          <w:rFonts w:ascii="Bradley Hand ITC" w:hAnsi="Bradley Hand ITC" w:cs="Bradley Hand ITC"/>
        </w:rPr>
        <w:t xml:space="preserve"> </w:t>
      </w:r>
    </w:p>
    <w:p w:rsidR="00EC1152" w:rsidRPr="00EC1152" w:rsidRDefault="00EC1152" w:rsidP="00EC1152">
      <w:pPr>
        <w:pStyle w:val="Default"/>
        <w:spacing w:line="360" w:lineRule="auto"/>
        <w:rPr>
          <w:rFonts w:ascii="Cooper Black" w:hAnsi="Cooper Black" w:cs="Cooper Black"/>
        </w:rPr>
      </w:pPr>
      <w:r w:rsidRPr="00EC1152">
        <w:rPr>
          <w:rFonts w:ascii="Cooper Black" w:hAnsi="Cooper Black" w:cs="Cooper Black"/>
        </w:rPr>
        <w:t xml:space="preserve">International Journal of Current Pharmaceutical Research </w:t>
      </w:r>
    </w:p>
    <w:p w:rsidR="00EC1152" w:rsidRPr="00EC1152" w:rsidRDefault="00EC1152" w:rsidP="00EC1152">
      <w:pPr>
        <w:pStyle w:val="Default"/>
        <w:spacing w:line="360" w:lineRule="auto"/>
        <w:rPr>
          <w:rFonts w:ascii="Bernard MT Condensed" w:hAnsi="Bernard MT Condensed" w:cs="Bernard MT Condensed"/>
        </w:rPr>
      </w:pPr>
      <w:r w:rsidRPr="00EC1152">
        <w:rPr>
          <w:rFonts w:ascii="Bernard MT Condensed" w:hAnsi="Bernard MT Condensed" w:cs="Bernard MT Condensed"/>
        </w:rPr>
        <w:t xml:space="preserve">ISSN- 0975-7066 Vol 6, Issue 3, 2014 </w:t>
      </w:r>
    </w:p>
    <w:p w:rsidR="00EC1152" w:rsidRPr="00EC1152" w:rsidRDefault="00EC1152" w:rsidP="00EC1152">
      <w:pPr>
        <w:pStyle w:val="Default"/>
        <w:spacing w:before="120" w:after="120" w:line="360" w:lineRule="auto"/>
        <w:jc w:val="center"/>
      </w:pPr>
      <w:r w:rsidRPr="00EC1152">
        <w:rPr>
          <w:b/>
          <w:bCs/>
        </w:rPr>
        <w:t xml:space="preserve">RED AND YELLOW WATERMELON SEEDS </w:t>
      </w:r>
    </w:p>
    <w:p w:rsidR="00EC1152" w:rsidRPr="00EC1152" w:rsidRDefault="00EC1152" w:rsidP="00EC1152">
      <w:pPr>
        <w:pStyle w:val="Default"/>
        <w:spacing w:before="120" w:after="120" w:line="360" w:lineRule="auto"/>
        <w:jc w:val="center"/>
      </w:pPr>
      <w:r w:rsidRPr="00EC1152">
        <w:rPr>
          <w:b/>
          <w:bCs/>
        </w:rPr>
        <w:t>MAHENDRAN SEKAR</w:t>
      </w:r>
      <w:r w:rsidRPr="00EC1152">
        <w:rPr>
          <w:b/>
          <w:bCs/>
          <w:position w:val="8"/>
          <w:vertAlign w:val="superscript"/>
        </w:rPr>
        <w:t>*</w:t>
      </w:r>
      <w:r w:rsidRPr="00EC1152">
        <w:rPr>
          <w:b/>
          <w:bCs/>
        </w:rPr>
        <w:t xml:space="preserve">, NANDAKOGULNAIR SUTHARESAN, DANIAL AMANI MASHI, MUHAMMAD SHAIFUL HISHAM, MUHHAMAD SHAZNI, KANG WEI MENG, MUHAMMAD ISTIAZZUL, MOHD SYAFIQ ABDULLAH </w:t>
      </w:r>
    </w:p>
    <w:p w:rsidR="00EC1152" w:rsidRPr="00EC1152" w:rsidRDefault="00EC1152" w:rsidP="00EC1152">
      <w:pPr>
        <w:pStyle w:val="Default"/>
        <w:spacing w:before="120" w:after="120" w:line="360" w:lineRule="auto"/>
        <w:jc w:val="center"/>
      </w:pPr>
      <w:r w:rsidRPr="00EC1152">
        <w:rPr>
          <w:b/>
          <w:bCs/>
        </w:rPr>
        <w:t xml:space="preserve">Faculty of Pharmacy and Health Sciences, </w:t>
      </w:r>
      <w:proofErr w:type="spellStart"/>
      <w:r w:rsidRPr="00EC1152">
        <w:rPr>
          <w:b/>
          <w:bCs/>
        </w:rPr>
        <w:t>Universiti</w:t>
      </w:r>
      <w:proofErr w:type="spellEnd"/>
      <w:r w:rsidRPr="00EC1152">
        <w:rPr>
          <w:b/>
          <w:bCs/>
        </w:rPr>
        <w:t xml:space="preserve"> Kuala Lumpur, Royal College of Medicine Perak, Ipoh 30450, Malaysia. Email: mahendransekar@rcmp.unikl.edu.my </w:t>
      </w:r>
    </w:p>
    <w:p w:rsidR="00EC1152" w:rsidRPr="00EC1152" w:rsidRDefault="00EC1152" w:rsidP="00EC1152">
      <w:pPr>
        <w:pStyle w:val="Default"/>
        <w:spacing w:before="120" w:after="120" w:line="360" w:lineRule="auto"/>
        <w:jc w:val="center"/>
      </w:pPr>
      <w:r w:rsidRPr="00EC1152">
        <w:rPr>
          <w:b/>
          <w:bCs/>
          <w:i/>
          <w:iCs/>
        </w:rPr>
        <w:t xml:space="preserve">Received: 08 May 2014, Revised and Accepted: 24 May 2014 </w:t>
      </w:r>
    </w:p>
    <w:p w:rsidR="00EC1152" w:rsidRPr="00EC1152" w:rsidRDefault="00EC1152" w:rsidP="00EC1152">
      <w:pPr>
        <w:pStyle w:val="Default"/>
        <w:spacing w:before="120" w:after="120" w:line="360" w:lineRule="auto"/>
        <w:jc w:val="both"/>
      </w:pPr>
      <w:r w:rsidRPr="00EC1152">
        <w:rPr>
          <w:b/>
          <w:bCs/>
        </w:rPr>
        <w:t xml:space="preserve">ABSTARCT </w:t>
      </w:r>
    </w:p>
    <w:p w:rsidR="00EC1152" w:rsidRPr="00EC1152" w:rsidRDefault="00EC1152" w:rsidP="00EC1152">
      <w:pPr>
        <w:pStyle w:val="Default"/>
        <w:spacing w:before="120" w:after="120" w:line="360" w:lineRule="auto"/>
        <w:jc w:val="both"/>
      </w:pPr>
      <w:r w:rsidRPr="00EC1152">
        <w:t xml:space="preserve">Watermelon fruits are originated from the West Africa and distributed all over the world including Malaysia. Its antimicrobial properties are well known. There are two varieties of watermelon fruits are available in the Malaysian market i.e. red and yellow. In the present study, a qualitative phytochemical analysis of methanol extracts of two varieties of watermelon seeds were carried out to identify the difference in their active constituents. A detailed antimicrobial study was carried out for both of the extracts and compared. The zone of inhibition produced by the crude </w:t>
      </w:r>
      <w:proofErr w:type="spellStart"/>
      <w:r w:rsidRPr="00EC1152">
        <w:t>methanolic</w:t>
      </w:r>
      <w:proofErr w:type="spellEnd"/>
      <w:r w:rsidRPr="00EC1152">
        <w:t xml:space="preserve"> extract of red watermelon seeds against </w:t>
      </w:r>
      <w:r w:rsidRPr="00EC1152">
        <w:rPr>
          <w:i/>
          <w:iCs/>
        </w:rPr>
        <w:t xml:space="preserve">Streptococcus pyogenes </w:t>
      </w:r>
      <w:r w:rsidRPr="00EC1152">
        <w:t xml:space="preserve">and </w:t>
      </w:r>
      <w:r w:rsidRPr="00EC1152">
        <w:rPr>
          <w:i/>
          <w:iCs/>
        </w:rPr>
        <w:t xml:space="preserve">Staphylococcus aureus </w:t>
      </w:r>
      <w:r w:rsidRPr="00EC1152">
        <w:t xml:space="preserve">were 7-20 mm and 7-10 mm, respectively in different concentrations. At the same time crude </w:t>
      </w:r>
      <w:proofErr w:type="spellStart"/>
      <w:r w:rsidRPr="00EC1152">
        <w:t>methanolic</w:t>
      </w:r>
      <w:proofErr w:type="spellEnd"/>
      <w:r w:rsidRPr="00EC1152">
        <w:t xml:space="preserve"> extract of red watermelon seeds do not showed zone of inhibition against </w:t>
      </w:r>
      <w:r w:rsidRPr="00EC1152">
        <w:rPr>
          <w:i/>
          <w:iCs/>
        </w:rPr>
        <w:t xml:space="preserve">Escherichia coli </w:t>
      </w:r>
      <w:r w:rsidRPr="00EC1152">
        <w:t xml:space="preserve">and </w:t>
      </w:r>
      <w:r w:rsidRPr="00EC1152">
        <w:rPr>
          <w:i/>
          <w:iCs/>
        </w:rPr>
        <w:t>Pseudomonas aeruginosa</w:t>
      </w:r>
      <w:r w:rsidRPr="00EC1152">
        <w:t xml:space="preserve">. The </w:t>
      </w:r>
      <w:proofErr w:type="spellStart"/>
      <w:r w:rsidRPr="00EC1152">
        <w:t>methanolic</w:t>
      </w:r>
      <w:proofErr w:type="spellEnd"/>
      <w:r w:rsidRPr="00EC1152">
        <w:t xml:space="preserve"> extract of yellow watermelon seeds do not showed zone of inhibition against all the tested organisms. In conclusion, these results showed that </w:t>
      </w:r>
      <w:proofErr w:type="spellStart"/>
      <w:r w:rsidRPr="00EC1152">
        <w:t>methanolic</w:t>
      </w:r>
      <w:proofErr w:type="spellEnd"/>
      <w:r w:rsidRPr="00EC1152">
        <w:t xml:space="preserve"> extract of red watermelon seeds are good candidate for further investigation against gram positive bacteria. </w:t>
      </w:r>
    </w:p>
    <w:p w:rsidR="003262A8" w:rsidRPr="00EC1152" w:rsidRDefault="00EC1152" w:rsidP="00EC1152">
      <w:pPr>
        <w:pStyle w:val="Default"/>
        <w:spacing w:before="120" w:after="120" w:line="360" w:lineRule="auto"/>
        <w:jc w:val="both"/>
      </w:pPr>
      <w:r w:rsidRPr="00EC1152">
        <w:rPr>
          <w:b/>
          <w:bCs/>
        </w:rPr>
        <w:t xml:space="preserve">Keywords: </w:t>
      </w:r>
      <w:proofErr w:type="spellStart"/>
      <w:r w:rsidRPr="00EC1152">
        <w:rPr>
          <w:i/>
          <w:iCs/>
        </w:rPr>
        <w:t>Citrullus</w:t>
      </w:r>
      <w:proofErr w:type="spellEnd"/>
      <w:r w:rsidRPr="00EC1152">
        <w:rPr>
          <w:i/>
          <w:iCs/>
        </w:rPr>
        <w:t xml:space="preserve"> </w:t>
      </w:r>
      <w:proofErr w:type="spellStart"/>
      <w:r w:rsidRPr="00EC1152">
        <w:rPr>
          <w:i/>
          <w:iCs/>
        </w:rPr>
        <w:t>lanatus</w:t>
      </w:r>
      <w:proofErr w:type="spellEnd"/>
      <w:r w:rsidRPr="00EC1152">
        <w:t xml:space="preserve">, Red and yellow watermelon, Antimicrobial. </w:t>
      </w:r>
      <w:bookmarkStart w:id="0" w:name="_GoBack"/>
      <w:bookmarkEnd w:id="0"/>
    </w:p>
    <w:sectPr w:rsidR="003262A8" w:rsidRPr="00EC115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altName w:val="Cambria"/>
    <w:panose1 w:val="02040503050406030204"/>
    <w:charset w:val="00"/>
    <w:family w:val="roman"/>
    <w:pitch w:val="variable"/>
    <w:sig w:usb0="E00002FF" w:usb1="400004FF" w:usb2="00000000" w:usb3="00000000" w:csb0="0000019F" w:csb1="00000000"/>
  </w:font>
  <w:font w:name="Bradley Hand ITC">
    <w:altName w:val="Bradley Hand ITC"/>
    <w:panose1 w:val="03070402050302030203"/>
    <w:charset w:val="00"/>
    <w:family w:val="script"/>
    <w:pitch w:val="variable"/>
    <w:sig w:usb0="00000003" w:usb1="00000000" w:usb2="00000000" w:usb3="00000000" w:csb0="00000001" w:csb1="00000000"/>
  </w:font>
  <w:font w:name="Cooper Black">
    <w:altName w:val="Cooper Black"/>
    <w:panose1 w:val="0208090404030B020404"/>
    <w:charset w:val="00"/>
    <w:family w:val="roman"/>
    <w:pitch w:val="variable"/>
    <w:sig w:usb0="00000003" w:usb1="00000000" w:usb2="00000000" w:usb3="00000000" w:csb0="00000001" w:csb1="00000000"/>
  </w:font>
  <w:font w:name="Bernard MT Condensed">
    <w:altName w:val="Bernard MT Condensed"/>
    <w:panose1 w:val="02050806060905020404"/>
    <w:charset w:val="00"/>
    <w:family w:val="roman"/>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0891"/>
    <w:rsid w:val="00170894"/>
    <w:rsid w:val="003262A8"/>
    <w:rsid w:val="005374BF"/>
    <w:rsid w:val="00757787"/>
    <w:rsid w:val="00B00891"/>
    <w:rsid w:val="00EC1152"/>
    <w:rsid w:val="00F07F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F91CB6E-CAC3-495D-8781-8A07950484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C1152"/>
    <w:pPr>
      <w:autoSpaceDE w:val="0"/>
      <w:autoSpaceDN w:val="0"/>
      <w:adjustRightInd w:val="0"/>
      <w:spacing w:after="0" w:line="240" w:lineRule="auto"/>
    </w:pPr>
    <w:rPr>
      <w:rFonts w:ascii="Cambria" w:hAnsi="Cambria" w:cs="Cambri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270</Words>
  <Characters>1542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ITD1</dc:creator>
  <cp:keywords/>
  <dc:description/>
  <cp:lastModifiedBy>ITD1</cp:lastModifiedBy>
  <cp:revision>2</cp:revision>
  <dcterms:created xsi:type="dcterms:W3CDTF">2015-12-14T09:54:00Z</dcterms:created>
  <dcterms:modified xsi:type="dcterms:W3CDTF">2015-12-14T09:54:00Z</dcterms:modified>
</cp:coreProperties>
</file>