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CooperBlack" w:hAnsi="CooperBlack" w:cs="CooperBlack"/>
          <w:color w:val="FF7600"/>
          <w:sz w:val="20"/>
          <w:szCs w:val="20"/>
        </w:rPr>
      </w:pPr>
      <w:r>
        <w:rPr>
          <w:rFonts w:ascii="CooperBlack" w:hAnsi="CooperBlack" w:cs="CooperBlack"/>
          <w:color w:val="FF7600"/>
          <w:sz w:val="20"/>
          <w:szCs w:val="20"/>
        </w:rPr>
        <w:t xml:space="preserve">Journal of </w:t>
      </w:r>
      <w:proofErr w:type="spellStart"/>
      <w:r>
        <w:rPr>
          <w:rFonts w:ascii="CooperBlack" w:hAnsi="CooperBlack" w:cs="CooperBlack"/>
          <w:color w:val="FF7600"/>
          <w:sz w:val="20"/>
          <w:szCs w:val="20"/>
        </w:rPr>
        <w:t>Behavioral</w:t>
      </w:r>
      <w:proofErr w:type="spellEnd"/>
      <w:r>
        <w:rPr>
          <w:rFonts w:ascii="CooperBlack" w:hAnsi="CooperBlack" w:cs="CooperBlack"/>
          <w:color w:val="FF7600"/>
          <w:sz w:val="20"/>
          <w:szCs w:val="20"/>
        </w:rPr>
        <w:t xml:space="preserve"> Health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14"/>
          <w:szCs w:val="14"/>
        </w:rPr>
      </w:pPr>
      <w:r>
        <w:rPr>
          <w:rFonts w:ascii="Arial-BoldMT" w:hAnsi="Arial-BoldMT" w:cs="Arial-BoldMT"/>
          <w:b/>
          <w:bCs/>
          <w:color w:val="000000"/>
          <w:sz w:val="14"/>
          <w:szCs w:val="14"/>
        </w:rPr>
        <w:t xml:space="preserve">DOI: </w:t>
      </w:r>
      <w:r>
        <w:rPr>
          <w:rFonts w:ascii="ArialMT" w:hAnsi="ArialMT" w:cs="ArialMT"/>
          <w:color w:val="000000"/>
          <w:sz w:val="14"/>
          <w:szCs w:val="14"/>
        </w:rPr>
        <w:t>10.5455/jbh.20140711045817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14"/>
          <w:szCs w:val="14"/>
        </w:rPr>
      </w:pPr>
      <w:r>
        <w:rPr>
          <w:rFonts w:ascii="Arial-BoldMT" w:hAnsi="Arial-BoldMT" w:cs="Arial-BoldMT"/>
          <w:b/>
          <w:bCs/>
          <w:color w:val="000000"/>
          <w:sz w:val="14"/>
          <w:szCs w:val="14"/>
        </w:rPr>
        <w:t>www.scopemed.org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BellCentennialBT-Address" w:hAnsi="BellCentennialBT-Address" w:cs="BellCentennialBT-Address"/>
          <w:color w:val="000000"/>
          <w:sz w:val="16"/>
          <w:szCs w:val="16"/>
        </w:rPr>
      </w:pPr>
      <w:r>
        <w:rPr>
          <w:rFonts w:ascii="BellCentennialBT-Address" w:hAnsi="BellCentennialBT-Address" w:cs="BellCentennialBT-Address"/>
          <w:color w:val="000000"/>
          <w:sz w:val="16"/>
          <w:szCs w:val="16"/>
        </w:rPr>
        <w:t xml:space="preserve">J </w:t>
      </w:r>
      <w:proofErr w:type="spellStart"/>
      <w:r>
        <w:rPr>
          <w:rFonts w:ascii="BellCentennialBT-Address" w:hAnsi="BellCentennialBT-Address" w:cs="BellCentennialBT-Address"/>
          <w:color w:val="000000"/>
          <w:sz w:val="16"/>
          <w:szCs w:val="16"/>
        </w:rPr>
        <w:t>Behav</w:t>
      </w:r>
      <w:proofErr w:type="spellEnd"/>
      <w:r>
        <w:rPr>
          <w:rFonts w:ascii="BellCentennialBT-Address" w:hAnsi="BellCentennialBT-Address" w:cs="BellCentennialBT-Address"/>
          <w:color w:val="000000"/>
          <w:sz w:val="16"/>
          <w:szCs w:val="16"/>
        </w:rPr>
        <w:t xml:space="preserve"> Health </w:t>
      </w:r>
      <w:r>
        <w:rPr>
          <w:rFonts w:ascii="Sylfaen" w:hAnsi="Sylfaen" w:cs="Sylfaen"/>
          <w:color w:val="000000"/>
          <w:sz w:val="16"/>
          <w:szCs w:val="16"/>
        </w:rPr>
        <w:t xml:space="preserve">● </w:t>
      </w:r>
      <w:r>
        <w:rPr>
          <w:rFonts w:ascii="BellCentennialBT-Address" w:hAnsi="BellCentennialBT-Address" w:cs="BellCentennialBT-Address"/>
          <w:color w:val="000000"/>
          <w:sz w:val="16"/>
          <w:szCs w:val="16"/>
        </w:rPr>
        <w:t xml:space="preserve">2014 </w:t>
      </w:r>
      <w:r>
        <w:rPr>
          <w:rFonts w:ascii="Sylfaen" w:hAnsi="Sylfaen" w:cs="Sylfaen"/>
          <w:color w:val="000000"/>
          <w:sz w:val="16"/>
          <w:szCs w:val="16"/>
        </w:rPr>
        <w:t xml:space="preserve">● </w:t>
      </w:r>
      <w:proofErr w:type="spellStart"/>
      <w:r>
        <w:rPr>
          <w:rFonts w:ascii="BellCentennialBT-Address" w:hAnsi="BellCentennialBT-Address" w:cs="BellCentennialBT-Address"/>
          <w:color w:val="000000"/>
          <w:sz w:val="16"/>
          <w:szCs w:val="16"/>
        </w:rPr>
        <w:t>Vol</w:t>
      </w:r>
      <w:proofErr w:type="spellEnd"/>
      <w:r>
        <w:rPr>
          <w:rFonts w:ascii="BellCentennialBT-Address" w:hAnsi="BellCentennialBT-Address" w:cs="BellCentennialBT-Address"/>
          <w:color w:val="000000"/>
          <w:sz w:val="16"/>
          <w:szCs w:val="16"/>
        </w:rPr>
        <w:t xml:space="preserve"> 3 </w:t>
      </w:r>
      <w:r>
        <w:rPr>
          <w:rFonts w:ascii="Sylfaen" w:hAnsi="Sylfaen" w:cs="Sylfaen"/>
          <w:color w:val="000000"/>
          <w:sz w:val="16"/>
          <w:szCs w:val="16"/>
        </w:rPr>
        <w:t xml:space="preserve">● </w:t>
      </w:r>
      <w:r>
        <w:rPr>
          <w:rFonts w:ascii="BellCentennialBT-Address" w:hAnsi="BellCentennialBT-Address" w:cs="BellCentennialBT-Address"/>
          <w:color w:val="000000"/>
          <w:sz w:val="16"/>
          <w:szCs w:val="16"/>
        </w:rPr>
        <w:t>Issue 3 149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AGaramondPro-Bold" w:hAnsi="AGaramondPro-Bold" w:cs="AGaramondPro-Bold"/>
          <w:b/>
          <w:bCs/>
          <w:color w:val="000000"/>
          <w:sz w:val="48"/>
          <w:szCs w:val="48"/>
        </w:rPr>
      </w:pPr>
      <w:r>
        <w:rPr>
          <w:rFonts w:ascii="AGaramondPro-Bold" w:hAnsi="AGaramondPro-Bold" w:cs="AGaramondPro-Bold"/>
          <w:b/>
          <w:bCs/>
          <w:color w:val="000000"/>
          <w:sz w:val="48"/>
          <w:szCs w:val="48"/>
        </w:rPr>
        <w:t>The effectiveness of the information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AGaramondPro-Bold" w:hAnsi="AGaramondPro-Bold" w:cs="AGaramondPro-Bold"/>
          <w:b/>
          <w:bCs/>
          <w:color w:val="000000"/>
          <w:sz w:val="48"/>
          <w:szCs w:val="48"/>
        </w:rPr>
      </w:pPr>
      <w:proofErr w:type="gramStart"/>
      <w:r>
        <w:rPr>
          <w:rFonts w:ascii="AGaramondPro-Bold" w:hAnsi="AGaramondPro-Bold" w:cs="AGaramondPro-Bold"/>
          <w:b/>
          <w:bCs/>
          <w:color w:val="000000"/>
          <w:sz w:val="48"/>
          <w:szCs w:val="48"/>
        </w:rPr>
        <w:t>compact</w:t>
      </w:r>
      <w:proofErr w:type="gramEnd"/>
      <w:r>
        <w:rPr>
          <w:rFonts w:ascii="AGaramondPro-Bold" w:hAnsi="AGaramondPro-Bold" w:cs="AGaramondPro-Bold"/>
          <w:b/>
          <w:bCs/>
          <w:color w:val="000000"/>
          <w:sz w:val="48"/>
          <w:szCs w:val="48"/>
        </w:rPr>
        <w:t xml:space="preserve"> disk and information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AGaramondPro-Bold" w:hAnsi="AGaramondPro-Bold" w:cs="AGaramondPro-Bold"/>
          <w:b/>
          <w:bCs/>
          <w:color w:val="000000"/>
          <w:sz w:val="48"/>
          <w:szCs w:val="48"/>
        </w:rPr>
      </w:pPr>
      <w:proofErr w:type="gramStart"/>
      <w:r>
        <w:rPr>
          <w:rFonts w:ascii="AGaramondPro-Bold" w:hAnsi="AGaramondPro-Bold" w:cs="AGaramondPro-Bold"/>
          <w:b/>
          <w:bCs/>
          <w:color w:val="000000"/>
          <w:sz w:val="48"/>
          <w:szCs w:val="48"/>
        </w:rPr>
        <w:t>pamphlet</w:t>
      </w:r>
      <w:proofErr w:type="gramEnd"/>
      <w:r>
        <w:rPr>
          <w:rFonts w:ascii="AGaramondPro-Bold" w:hAnsi="AGaramondPro-Bold" w:cs="AGaramondPro-Bold"/>
          <w:b/>
          <w:bCs/>
          <w:color w:val="000000"/>
          <w:sz w:val="48"/>
          <w:szCs w:val="48"/>
        </w:rPr>
        <w:t xml:space="preserve"> in improving knowledge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AGaramondPro-Bold" w:hAnsi="AGaramondPro-Bold" w:cs="AGaramondPro-Bold"/>
          <w:b/>
          <w:bCs/>
          <w:color w:val="000000"/>
          <w:sz w:val="48"/>
          <w:szCs w:val="48"/>
        </w:rPr>
      </w:pPr>
      <w:proofErr w:type="gramStart"/>
      <w:r>
        <w:rPr>
          <w:rFonts w:ascii="AGaramondPro-Bold" w:hAnsi="AGaramondPro-Bold" w:cs="AGaramondPro-Bold"/>
          <w:b/>
          <w:bCs/>
          <w:color w:val="000000"/>
          <w:sz w:val="48"/>
          <w:szCs w:val="48"/>
        </w:rPr>
        <w:t>about</w:t>
      </w:r>
      <w:proofErr w:type="gramEnd"/>
      <w:r>
        <w:rPr>
          <w:rFonts w:ascii="AGaramondPro-Bold" w:hAnsi="AGaramondPro-Bold" w:cs="AGaramondPro-Bold"/>
          <w:b/>
          <w:bCs/>
          <w:color w:val="000000"/>
          <w:sz w:val="48"/>
          <w:szCs w:val="48"/>
        </w:rPr>
        <w:t xml:space="preserve"> potential health risk of Shisha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AGaramondPro-Bold" w:hAnsi="AGaramondPro-Bold" w:cs="AGaramondPro-Bold"/>
          <w:b/>
          <w:bCs/>
          <w:color w:val="000000"/>
          <w:sz w:val="48"/>
          <w:szCs w:val="48"/>
        </w:rPr>
      </w:pPr>
      <w:proofErr w:type="gramStart"/>
      <w:r>
        <w:rPr>
          <w:rFonts w:ascii="AGaramondPro-Bold" w:hAnsi="AGaramondPro-Bold" w:cs="AGaramondPro-Bold"/>
          <w:b/>
          <w:bCs/>
          <w:color w:val="000000"/>
          <w:sz w:val="48"/>
          <w:szCs w:val="48"/>
        </w:rPr>
        <w:t>smoking</w:t>
      </w:r>
      <w:proofErr w:type="gramEnd"/>
      <w:r>
        <w:rPr>
          <w:rFonts w:ascii="AGaramondPro-Bold" w:hAnsi="AGaramondPro-Bold" w:cs="AGaramondPro-Bold"/>
          <w:b/>
          <w:bCs/>
          <w:color w:val="000000"/>
          <w:sz w:val="48"/>
          <w:szCs w:val="48"/>
        </w:rPr>
        <w:t xml:space="preserve"> among students in one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AGaramondPro-Bold" w:hAnsi="AGaramondPro-Bold" w:cs="AGaramondPro-Bold"/>
          <w:b/>
          <w:bCs/>
          <w:color w:val="000000"/>
          <w:sz w:val="48"/>
          <w:szCs w:val="48"/>
        </w:rPr>
      </w:pPr>
      <w:r>
        <w:rPr>
          <w:rFonts w:ascii="AGaramondPro-Bold" w:hAnsi="AGaramondPro-Bold" w:cs="AGaramondPro-Bold"/>
          <w:b/>
          <w:bCs/>
          <w:color w:val="000000"/>
          <w:sz w:val="48"/>
          <w:szCs w:val="48"/>
        </w:rPr>
        <w:t>Malaysia medical college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Khor Poh Yen, Mohd Syafiq bin Abdullah, S. Nur </w:t>
      </w:r>
      <w:proofErr w:type="spellStart"/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Suzieanna</w:t>
      </w:r>
      <w:proofErr w:type="spellEnd"/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,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  <w:r>
        <w:rPr>
          <w:rFonts w:ascii="Arial-BoldMT" w:hAnsi="Arial-BoldMT" w:cs="Arial-BoldMT"/>
          <w:b/>
          <w:bCs/>
          <w:color w:val="000000"/>
          <w:sz w:val="24"/>
          <w:szCs w:val="24"/>
        </w:rPr>
        <w:t xml:space="preserve">M.Z. </w:t>
      </w:r>
      <w:proofErr w:type="spellStart"/>
      <w:r>
        <w:rPr>
          <w:rFonts w:ascii="Arial-BoldMT" w:hAnsi="Arial-BoldMT" w:cs="Arial-BoldMT"/>
          <w:b/>
          <w:bCs/>
          <w:color w:val="000000"/>
          <w:sz w:val="24"/>
          <w:szCs w:val="24"/>
        </w:rPr>
        <w:t>Nurfatihah</w:t>
      </w:r>
      <w:proofErr w:type="spellEnd"/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8"/>
          <w:szCs w:val="28"/>
        </w:rPr>
      </w:pPr>
      <w:r>
        <w:rPr>
          <w:rFonts w:ascii="EnglischeSchT-DemiBold" w:hAnsi="EnglischeSchT-DemiBold" w:cs="EnglischeSchT-DemiBold"/>
          <w:b/>
          <w:bCs/>
          <w:color w:val="000000"/>
          <w:sz w:val="60"/>
          <w:szCs w:val="60"/>
        </w:rPr>
        <w:t>O</w:t>
      </w:r>
      <w:r>
        <w:rPr>
          <w:rFonts w:ascii="ArialMT" w:hAnsi="ArialMT" w:cs="ArialMT"/>
          <w:color w:val="000000"/>
          <w:sz w:val="28"/>
          <w:szCs w:val="28"/>
        </w:rPr>
        <w:t>riginal Research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Humanist777BT-LightB" w:hAnsi="Humanist777BT-LightB" w:cs="Humanist777BT-LightB"/>
          <w:color w:val="000000"/>
          <w:sz w:val="18"/>
          <w:szCs w:val="18"/>
        </w:rPr>
      </w:pPr>
      <w:r>
        <w:rPr>
          <w:rFonts w:ascii="Humanist777BT-LightB" w:hAnsi="Humanist777BT-LightB" w:cs="Humanist777BT-LightB"/>
          <w:color w:val="000000"/>
          <w:sz w:val="18"/>
          <w:szCs w:val="18"/>
        </w:rPr>
        <w:t>Department of Pharmacy,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Humanist777BT-LightB" w:hAnsi="Humanist777BT-LightB" w:cs="Humanist777BT-LightB"/>
          <w:color w:val="000000"/>
          <w:sz w:val="18"/>
          <w:szCs w:val="18"/>
        </w:rPr>
      </w:pPr>
      <w:r>
        <w:rPr>
          <w:rFonts w:ascii="Humanist777BT-LightB" w:hAnsi="Humanist777BT-LightB" w:cs="Humanist777BT-LightB"/>
          <w:color w:val="000000"/>
          <w:sz w:val="18"/>
          <w:szCs w:val="18"/>
        </w:rPr>
        <w:t>Faculty Pharmacy &amp;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Humanist777BT-LightB" w:hAnsi="Humanist777BT-LightB" w:cs="Humanist777BT-LightB"/>
          <w:color w:val="000000"/>
          <w:sz w:val="18"/>
          <w:szCs w:val="18"/>
        </w:rPr>
      </w:pPr>
      <w:r>
        <w:rPr>
          <w:rFonts w:ascii="Humanist777BT-LightB" w:hAnsi="Humanist777BT-LightB" w:cs="Humanist777BT-LightB"/>
          <w:color w:val="000000"/>
          <w:sz w:val="18"/>
          <w:szCs w:val="18"/>
        </w:rPr>
        <w:t>Health Sciences, Universiti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Humanist777BT-LightB" w:hAnsi="Humanist777BT-LightB" w:cs="Humanist777BT-LightB"/>
          <w:color w:val="000000"/>
          <w:sz w:val="18"/>
          <w:szCs w:val="18"/>
        </w:rPr>
      </w:pPr>
      <w:r>
        <w:rPr>
          <w:rFonts w:ascii="Humanist777BT-LightB" w:hAnsi="Humanist777BT-LightB" w:cs="Humanist777BT-LightB"/>
          <w:color w:val="000000"/>
          <w:sz w:val="18"/>
          <w:szCs w:val="18"/>
        </w:rPr>
        <w:t>Kuala Lumpur, Royal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Humanist777BT-LightB" w:hAnsi="Humanist777BT-LightB" w:cs="Humanist777BT-LightB"/>
          <w:color w:val="000000"/>
          <w:sz w:val="18"/>
          <w:szCs w:val="18"/>
        </w:rPr>
      </w:pPr>
      <w:r>
        <w:rPr>
          <w:rFonts w:ascii="Humanist777BT-LightB" w:hAnsi="Humanist777BT-LightB" w:cs="Humanist777BT-LightB"/>
          <w:color w:val="000000"/>
          <w:sz w:val="18"/>
          <w:szCs w:val="18"/>
        </w:rPr>
        <w:t>College of Medicine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Humanist777BT-LightB" w:hAnsi="Humanist777BT-LightB" w:cs="Humanist777BT-LightB"/>
          <w:color w:val="000000"/>
          <w:sz w:val="18"/>
          <w:szCs w:val="18"/>
        </w:rPr>
      </w:pPr>
      <w:r>
        <w:rPr>
          <w:rFonts w:ascii="Humanist777BT-LightB" w:hAnsi="Humanist777BT-LightB" w:cs="Humanist777BT-LightB"/>
          <w:color w:val="000000"/>
          <w:sz w:val="18"/>
          <w:szCs w:val="18"/>
        </w:rPr>
        <w:t>Perak, Perak, Malaysia.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Humanist777BT-LightB" w:hAnsi="Humanist777BT-LightB" w:cs="Humanist777BT-LightB"/>
          <w:color w:val="000000"/>
          <w:sz w:val="16"/>
          <w:szCs w:val="16"/>
        </w:rPr>
      </w:pPr>
      <w:r>
        <w:rPr>
          <w:rFonts w:ascii="Humanist777BT-LightB" w:hAnsi="Humanist777BT-LightB" w:cs="Humanist777BT-LightB"/>
          <w:color w:val="000000"/>
          <w:sz w:val="16"/>
          <w:szCs w:val="16"/>
        </w:rPr>
        <w:t>Address for correspondence: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Humanist777BT-LightB" w:hAnsi="Humanist777BT-LightB" w:cs="Humanist777BT-LightB"/>
          <w:color w:val="000000"/>
          <w:sz w:val="16"/>
          <w:szCs w:val="16"/>
        </w:rPr>
      </w:pPr>
      <w:r>
        <w:rPr>
          <w:rFonts w:ascii="Humanist777BT-LightB" w:hAnsi="Humanist777BT-LightB" w:cs="Humanist777BT-LightB"/>
          <w:color w:val="000000"/>
          <w:sz w:val="16"/>
          <w:szCs w:val="16"/>
        </w:rPr>
        <w:t>Khor Poh Yen, Universiti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Humanist777BT-LightB" w:hAnsi="Humanist777BT-LightB" w:cs="Humanist777BT-LightB"/>
          <w:color w:val="000000"/>
          <w:sz w:val="16"/>
          <w:szCs w:val="16"/>
        </w:rPr>
      </w:pPr>
      <w:r>
        <w:rPr>
          <w:rFonts w:ascii="Humanist777BT-LightB" w:hAnsi="Humanist777BT-LightB" w:cs="Humanist777BT-LightB"/>
          <w:color w:val="000000"/>
          <w:sz w:val="16"/>
          <w:szCs w:val="16"/>
        </w:rPr>
        <w:t>Kuala Lumpur, Royal College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Humanist777BT-LightB" w:hAnsi="Humanist777BT-LightB" w:cs="Humanist777BT-LightB"/>
          <w:color w:val="000000"/>
          <w:sz w:val="16"/>
          <w:szCs w:val="16"/>
        </w:rPr>
      </w:pPr>
      <w:proofErr w:type="gramStart"/>
      <w:r>
        <w:rPr>
          <w:rFonts w:ascii="Humanist777BT-LightB" w:hAnsi="Humanist777BT-LightB" w:cs="Humanist777BT-LightB"/>
          <w:color w:val="000000"/>
          <w:sz w:val="16"/>
          <w:szCs w:val="16"/>
        </w:rPr>
        <w:t>of</w:t>
      </w:r>
      <w:proofErr w:type="gramEnd"/>
      <w:r>
        <w:rPr>
          <w:rFonts w:ascii="Humanist777BT-LightB" w:hAnsi="Humanist777BT-LightB" w:cs="Humanist777BT-LightB"/>
          <w:color w:val="000000"/>
          <w:sz w:val="16"/>
          <w:szCs w:val="16"/>
        </w:rPr>
        <w:t xml:space="preserve"> Medicine Perak, Perak,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Humanist777BT-LightB" w:hAnsi="Humanist777BT-LightB" w:cs="Humanist777BT-LightB"/>
          <w:color w:val="000000"/>
          <w:sz w:val="16"/>
          <w:szCs w:val="16"/>
        </w:rPr>
      </w:pPr>
      <w:r>
        <w:rPr>
          <w:rFonts w:ascii="Humanist777BT-LightB" w:hAnsi="Humanist777BT-LightB" w:cs="Humanist777BT-LightB"/>
          <w:color w:val="000000"/>
          <w:sz w:val="16"/>
          <w:szCs w:val="16"/>
        </w:rPr>
        <w:t>Malaysia.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Humanist777BT-LightB" w:hAnsi="Humanist777BT-LightB" w:cs="Humanist777BT-LightB"/>
          <w:color w:val="000000"/>
          <w:sz w:val="16"/>
          <w:szCs w:val="16"/>
        </w:rPr>
      </w:pPr>
      <w:r>
        <w:rPr>
          <w:rFonts w:ascii="Humanist777BT-LightB" w:hAnsi="Humanist777BT-LightB" w:cs="Humanist777BT-LightB"/>
          <w:color w:val="000000"/>
          <w:sz w:val="16"/>
          <w:szCs w:val="16"/>
        </w:rPr>
        <w:t>E-mail: pykhor@unikl.edu.my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Humanist777BT-LightB" w:hAnsi="Humanist777BT-LightB" w:cs="Humanist777BT-LightB"/>
          <w:color w:val="000000"/>
          <w:sz w:val="14"/>
          <w:szCs w:val="14"/>
        </w:rPr>
      </w:pPr>
      <w:r>
        <w:rPr>
          <w:rFonts w:ascii="Humanist777BT-LightB" w:hAnsi="Humanist777BT-LightB" w:cs="Humanist777BT-LightB"/>
          <w:color w:val="000000"/>
          <w:sz w:val="14"/>
          <w:szCs w:val="14"/>
        </w:rPr>
        <w:t>Received: October 05, 2013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Humanist777BT-LightB" w:hAnsi="Humanist777BT-LightB" w:cs="Humanist777BT-LightB"/>
          <w:color w:val="000000"/>
          <w:sz w:val="14"/>
          <w:szCs w:val="14"/>
        </w:rPr>
      </w:pPr>
      <w:r>
        <w:rPr>
          <w:rFonts w:ascii="Humanist777BT-LightB" w:hAnsi="Humanist777BT-LightB" w:cs="Humanist777BT-LightB"/>
          <w:color w:val="000000"/>
          <w:sz w:val="14"/>
          <w:szCs w:val="14"/>
        </w:rPr>
        <w:t>Accepted: July 11, 2014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Humanist777BT-LightB" w:hAnsi="Humanist777BT-LightB" w:cs="Humanist777BT-LightB"/>
          <w:color w:val="000000"/>
          <w:sz w:val="14"/>
          <w:szCs w:val="14"/>
        </w:rPr>
      </w:pPr>
      <w:r>
        <w:rPr>
          <w:rFonts w:ascii="Humanist777BT-LightB" w:hAnsi="Humanist777BT-LightB" w:cs="Humanist777BT-LightB"/>
          <w:color w:val="000000"/>
          <w:sz w:val="14"/>
          <w:szCs w:val="14"/>
        </w:rPr>
        <w:t>Published: July 19, 2014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BellCentennialBT-NameAndNumber" w:hAnsi="BellCentennialBT-NameAndNumber" w:cs="BellCentennialBT-NameAndNumber"/>
          <w:color w:val="000000"/>
          <w:sz w:val="24"/>
          <w:szCs w:val="24"/>
        </w:rPr>
      </w:pPr>
      <w:r>
        <w:rPr>
          <w:rFonts w:ascii="BellCentennialBT-NameAndNumber" w:hAnsi="BellCentennialBT-NameAndNumber" w:cs="BellCentennialBT-NameAndNumber"/>
          <w:color w:val="000000"/>
          <w:sz w:val="24"/>
          <w:szCs w:val="24"/>
        </w:rPr>
        <w:t>ABSTRACT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ZurichBT-LightCondensed" w:hAnsi="ZurichBT-LightCondensed" w:cs="ZurichBT-LightCondensed"/>
          <w:color w:val="000000"/>
          <w:sz w:val="20"/>
          <w:szCs w:val="20"/>
        </w:rPr>
      </w:pPr>
      <w:r>
        <w:rPr>
          <w:rFonts w:ascii="ZurichBT-BoldCondensed" w:hAnsi="ZurichBT-BoldCondensed" w:cs="ZurichBT-BoldCondensed"/>
          <w:b/>
          <w:bCs/>
          <w:color w:val="000000"/>
          <w:sz w:val="20"/>
          <w:szCs w:val="20"/>
        </w:rPr>
        <w:t xml:space="preserve">Background: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>Shisha smokers believe that smoking Shisha is both harmless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 and non-addictive. However, it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>is believed that when they are exposed to the information on the health risks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, they can reduce the frequency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>of smoking Shisha. And as had been highlighted by previous researchers, the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 two important steps to rectify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>the misconception on and prevention of shisha smoking among smokers in f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uture are: An early educational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>exposure to the health risks among them and providing immediate protection f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or them at all the public areas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of smoking Shisha. 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ZurichBT-LightCondensed" w:hAnsi="ZurichBT-LightCondensed" w:cs="ZurichBT-LightCondensed"/>
          <w:color w:val="000000"/>
          <w:sz w:val="20"/>
          <w:szCs w:val="20"/>
        </w:rPr>
      </w:pPr>
      <w:r>
        <w:rPr>
          <w:rFonts w:ascii="ZurichBT-BoldCondensed" w:hAnsi="ZurichBT-BoldCondensed" w:cs="ZurichBT-BoldCondensed"/>
          <w:b/>
          <w:bCs/>
          <w:color w:val="000000"/>
          <w:sz w:val="20"/>
          <w:szCs w:val="20"/>
        </w:rPr>
        <w:t xml:space="preserve">Aim: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>The aim of this study is to examine the effects of using the inf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ormation compact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>disk (CD) and information pamphlet in improving the knowledge on the health risks of Shisha smoking among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ZurichBT-LightCondensed" w:hAnsi="ZurichBT-LightCondensed" w:cs="ZurichBT-LightCondensed"/>
          <w:color w:val="000000"/>
          <w:sz w:val="20"/>
          <w:szCs w:val="20"/>
        </w:rPr>
      </w:pP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Shisha and non-Shisha smokers. 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ZurichBT-LightCondensed" w:hAnsi="ZurichBT-LightCondensed" w:cs="ZurichBT-LightCondensed"/>
          <w:color w:val="000000"/>
          <w:sz w:val="20"/>
          <w:szCs w:val="20"/>
        </w:rPr>
      </w:pPr>
      <w:r>
        <w:rPr>
          <w:rFonts w:ascii="ZurichBT-BoldCondensed" w:hAnsi="ZurichBT-BoldCondensed" w:cs="ZurichBT-BoldCondensed"/>
          <w:b/>
          <w:bCs/>
          <w:color w:val="000000"/>
          <w:sz w:val="20"/>
          <w:szCs w:val="20"/>
        </w:rPr>
        <w:t xml:space="preserve">Methods: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>This study is based on the exper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imental research design. Eighty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>respondents (40 Shisha smokers and 40 non-Shisha smokers) were conveniently selected from a private medical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ZurichBT-LightCondensed" w:hAnsi="ZurichBT-LightCondensed" w:cs="ZurichBT-LightCondensed"/>
          <w:color w:val="000000"/>
          <w:sz w:val="20"/>
          <w:szCs w:val="20"/>
        </w:rPr>
      </w:pPr>
      <w:proofErr w:type="gramStart"/>
      <w:r>
        <w:rPr>
          <w:rFonts w:ascii="ZurichBT-LightCondensed" w:hAnsi="ZurichBT-LightCondensed" w:cs="ZurichBT-LightCondensed"/>
          <w:color w:val="000000"/>
          <w:sz w:val="20"/>
          <w:szCs w:val="20"/>
        </w:rPr>
        <w:t>college</w:t>
      </w:r>
      <w:proofErr w:type="gramEnd"/>
      <w:r>
        <w:rPr>
          <w:rFonts w:ascii="ZurichBT-LightCondensed" w:hAnsi="ZurichBT-LightCondensed" w:cs="ZurichBT-LightCondensed"/>
          <w:color w:val="000000"/>
          <w:sz w:val="20"/>
          <w:szCs w:val="20"/>
        </w:rPr>
        <w:t>. The respondents were then randomly assigned to the relevant experi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mental group and control </w:t>
      </w:r>
      <w:proofErr w:type="spellStart"/>
      <w:r>
        <w:rPr>
          <w:rFonts w:ascii="ZurichBT-LightCondensed" w:hAnsi="ZurichBT-LightCondensed" w:cs="ZurichBT-LightCondensed"/>
          <w:color w:val="000000"/>
          <w:sz w:val="20"/>
          <w:szCs w:val="20"/>
        </w:rPr>
        <w:t>group.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>The</w:t>
      </w:r>
      <w:proofErr w:type="spellEnd"/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 experimental group was given an information CD, whereas the control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 group was given an information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pamphlet developed by researchers. 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ZurichBT-LightCondensed" w:hAnsi="ZurichBT-LightCondensed" w:cs="ZurichBT-LightCondensed"/>
          <w:color w:val="000000"/>
          <w:sz w:val="20"/>
          <w:szCs w:val="20"/>
        </w:rPr>
      </w:pPr>
      <w:r>
        <w:rPr>
          <w:rFonts w:ascii="ZurichBT-BoldCondensed" w:hAnsi="ZurichBT-BoldCondensed" w:cs="ZurichBT-BoldCondensed"/>
          <w:b/>
          <w:bCs/>
          <w:color w:val="000000"/>
          <w:sz w:val="20"/>
          <w:szCs w:val="20"/>
        </w:rPr>
        <w:t xml:space="preserve">Results: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>The use of information CD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 was found to be more effective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than the pamphlet method in improving the knowledge on Shisha smoking in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most of the health risk aspects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>among Shisha smokers. The information CD and pamphlet methods, however, did not show any significant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ZurichBT-LightCondensed" w:hAnsi="ZurichBT-LightCondensed" w:cs="ZurichBT-LightCondensed"/>
          <w:color w:val="000000"/>
          <w:sz w:val="20"/>
          <w:szCs w:val="20"/>
        </w:rPr>
      </w:pPr>
      <w:proofErr w:type="gramStart"/>
      <w:r>
        <w:rPr>
          <w:rFonts w:ascii="ZurichBT-LightCondensed" w:hAnsi="ZurichBT-LightCondensed" w:cs="ZurichBT-LightCondensed"/>
          <w:color w:val="000000"/>
          <w:sz w:val="20"/>
          <w:szCs w:val="20"/>
        </w:rPr>
        <w:t>difference</w:t>
      </w:r>
      <w:proofErr w:type="gramEnd"/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 in improving the health risks knowledge among the non-Shisha smokers. </w:t>
      </w:r>
    </w:p>
    <w:p w:rsidR="00FC66D1" w:rsidRDefault="00FC66D1" w:rsidP="00FC66D1">
      <w:pPr>
        <w:autoSpaceDE w:val="0"/>
        <w:autoSpaceDN w:val="0"/>
        <w:adjustRightInd w:val="0"/>
        <w:spacing w:after="0" w:line="240" w:lineRule="auto"/>
        <w:rPr>
          <w:rFonts w:ascii="ZurichBT-LightCondensed" w:hAnsi="ZurichBT-LightCondensed" w:cs="ZurichBT-LightCondensed"/>
          <w:color w:val="000000"/>
          <w:sz w:val="20"/>
          <w:szCs w:val="20"/>
        </w:rPr>
      </w:pPr>
      <w:r>
        <w:rPr>
          <w:rFonts w:ascii="ZurichBT-BoldCondensed" w:hAnsi="ZurichBT-BoldCondensed" w:cs="ZurichBT-BoldCondensed"/>
          <w:b/>
          <w:bCs/>
          <w:color w:val="000000"/>
          <w:sz w:val="20"/>
          <w:szCs w:val="20"/>
        </w:rPr>
        <w:t xml:space="preserve">Conclusion: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In the </w:t>
      </w:r>
      <w:proofErr w:type="spellStart"/>
      <w:r>
        <w:rPr>
          <w:rFonts w:ascii="ZurichBT-LightCondensed" w:hAnsi="ZurichBT-LightCondensed" w:cs="ZurichBT-LightCondensed"/>
          <w:color w:val="000000"/>
          <w:sz w:val="20"/>
          <w:szCs w:val="20"/>
        </w:rPr>
        <w:t>future</w:t>
      </w:r>
      <w:proofErr w:type="gramStart"/>
      <w:r>
        <w:rPr>
          <w:rFonts w:ascii="ZurichBT-LightCondensed" w:hAnsi="ZurichBT-LightCondensed" w:cs="ZurichBT-LightCondensed"/>
          <w:color w:val="000000"/>
          <w:sz w:val="20"/>
          <w:szCs w:val="20"/>
        </w:rPr>
        <w:t>,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>The</w:t>
      </w:r>
      <w:proofErr w:type="spellEnd"/>
      <w:proofErr w:type="gramEnd"/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 Ministry of Health may have to focus more on developing more technolog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y-based information rather than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>focusing only on using the pamphlets in disseminating information when pro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 xml:space="preserve">moting health programs. This is </w:t>
      </w:r>
      <w:bookmarkStart w:id="0" w:name="_GoBack"/>
      <w:bookmarkEnd w:id="0"/>
      <w:r>
        <w:rPr>
          <w:rFonts w:ascii="ZurichBT-LightCondensed" w:hAnsi="ZurichBT-LightCondensed" w:cs="ZurichBT-LightCondensed"/>
          <w:color w:val="000000"/>
          <w:sz w:val="20"/>
          <w:szCs w:val="20"/>
        </w:rPr>
        <w:t>specifically important for the current computer-savvy younger generation.</w:t>
      </w:r>
    </w:p>
    <w:p w:rsidR="008F2D76" w:rsidRPr="00FC66D1" w:rsidRDefault="00FC66D1" w:rsidP="00FC66D1">
      <w:r>
        <w:rPr>
          <w:rFonts w:ascii="ZurichBT-RomanCondensed" w:hAnsi="ZurichBT-RomanCondensed" w:cs="ZurichBT-RomanCondensed"/>
          <w:color w:val="000000"/>
          <w:sz w:val="20"/>
          <w:szCs w:val="20"/>
        </w:rPr>
        <w:t xml:space="preserve">KEY WORDS: </w:t>
      </w:r>
      <w:r>
        <w:rPr>
          <w:rFonts w:ascii="ZurichBT-LightCondensed" w:hAnsi="ZurichBT-LightCondensed" w:cs="ZurichBT-LightCondensed"/>
          <w:color w:val="000000"/>
          <w:sz w:val="20"/>
          <w:szCs w:val="20"/>
        </w:rPr>
        <w:t>Compact disk, college, knowledge, pamphlet, potential health risk, Shisha smoking</w:t>
      </w:r>
    </w:p>
    <w:sectPr w:rsidR="008F2D76" w:rsidRPr="00FC66D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operBlack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BellCentennialBT-Address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GaramondPro-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EnglischeSchT-Demi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umanist777BT-LightB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BellCentennialBT-NameAndNumber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ZurichBT-BoldCondense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ZurichBT-LightCondense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ZurichBT-RomanCondense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6D1"/>
    <w:rsid w:val="008F2D76"/>
    <w:rsid w:val="00FC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D583297-29BA-46C1-8B72-E41FDF933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407</Words>
  <Characters>2323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Suhaila Ishak</dc:creator>
  <cp:keywords/>
  <dc:description/>
  <cp:lastModifiedBy>Suhaila Ishak</cp:lastModifiedBy>
  <cp:revision>1</cp:revision>
  <dcterms:created xsi:type="dcterms:W3CDTF">2015-12-03T04:42:00Z</dcterms:created>
  <dcterms:modified xsi:type="dcterms:W3CDTF">2015-12-03T04:46:00Z</dcterms:modified>
</cp:coreProperties>
</file>