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55" w:rsidRDefault="000F0E55" w:rsidP="000F0E55">
      <w:pPr>
        <w:shd w:val="clear" w:color="auto" w:fill="FFFFFF"/>
        <w:spacing w:before="150" w:after="300" w:line="336" w:lineRule="atLeast"/>
        <w:jc w:val="both"/>
        <w:outlineLvl w:val="4"/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>Abstract</w:t>
      </w:r>
      <w:bookmarkStart w:id="0" w:name="_GoBack"/>
      <w:bookmarkEnd w:id="0"/>
    </w:p>
    <w:p w:rsidR="000F0E55" w:rsidRDefault="000F0E55" w:rsidP="000F0E55">
      <w:pPr>
        <w:shd w:val="clear" w:color="auto" w:fill="FFFFFF"/>
        <w:spacing w:before="150" w:after="300" w:line="336" w:lineRule="atLeast"/>
        <w:jc w:val="both"/>
        <w:outlineLvl w:val="4"/>
        <w:rPr>
          <w:rFonts w:ascii="Arial" w:hAnsi="Arial" w:cs="Arial"/>
          <w:color w:val="333333"/>
        </w:rPr>
      </w:pPr>
      <w:r>
        <w:rPr>
          <w:rFonts w:ascii="Arial" w:hAnsi="Arial" w:cs="Arial"/>
          <w:color w:val="323232"/>
          <w:shd w:val="clear" w:color="auto" w:fill="FFFFFF"/>
        </w:rPr>
        <w:t xml:space="preserve">This small-scale open-circuit wind tunnel designed in subsonic flow The performance of constructed of small-scale wind tunnel on NACA 0018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airfoil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with velocity of 5ms and 10m/s with respect to Reynolds number 50 000 and 100 000 has been utilized. The angle of attack was set at 0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deg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5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deg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and maximum 10 deg. The aerodynamic efficiency (C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  <w:vertAlign w:val="subscript"/>
        </w:rPr>
        <w:t>L</w:t>
      </w:r>
      <w:r>
        <w:rPr>
          <w:rFonts w:ascii="Arial" w:hAnsi="Arial" w:cs="Arial"/>
          <w:color w:val="323232"/>
          <w:shd w:val="clear" w:color="auto" w:fill="FFFFFF"/>
        </w:rPr>
        <w:t>/C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  <w:vertAlign w:val="subscript"/>
        </w:rPr>
        <w:t>D</w:t>
      </w:r>
      <w:r>
        <w:rPr>
          <w:rFonts w:ascii="Arial" w:hAnsi="Arial" w:cs="Arial"/>
          <w:color w:val="323232"/>
          <w:shd w:val="clear" w:color="auto" w:fill="FFFFFF"/>
        </w:rPr>
        <w:t xml:space="preserve">) of small-scale wind tunnel and calibrated wind tunnel were compared with data from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Airfoil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Tools. The corrected and uncorrected data for both Reynolds number has been done to reduce the error between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Airfoil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Tools data. From the overall result, the corrected small-scale wind tunnel and calibrated wind tunnel for Reynolds number 50 000 and 100 000 shows difference less 26% and 28% respectively. The aerodynamic efficiency </w:t>
      </w:r>
      <w:proofErr w:type="gramStart"/>
      <w:r>
        <w:rPr>
          <w:rFonts w:ascii="Arial" w:hAnsi="Arial" w:cs="Arial"/>
          <w:color w:val="323232"/>
          <w:shd w:val="clear" w:color="auto" w:fill="FFFFFF"/>
        </w:rPr>
        <w:t>show</w:t>
      </w:r>
      <w:proofErr w:type="gramEnd"/>
      <w:r>
        <w:rPr>
          <w:rFonts w:ascii="Arial" w:hAnsi="Arial" w:cs="Arial"/>
          <w:color w:val="323232"/>
          <w:shd w:val="clear" w:color="auto" w:fill="FFFFFF"/>
        </w:rPr>
        <w:t xml:space="preserve"> less than 25% comparison between corrected small-scale wind tunnel and calibrated wind tunnel compared to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Airfoil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Tools for both Reynolds number. Both wind tunnels show a good agreement between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Airfoil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tools and sufficient to be used for educational purposed. © 2020 SERSC.</w:t>
      </w:r>
    </w:p>
    <w:p w:rsidR="000F6FCB" w:rsidRDefault="000F6FCB" w:rsidP="000F0E55"/>
    <w:sectPr w:rsidR="000F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55"/>
    <w:rsid w:val="000F0E55"/>
    <w:rsid w:val="000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8BDE"/>
  <w15:chartTrackingRefBased/>
  <w15:docId w15:val="{C765CF1F-2EBC-4BEA-93CF-CE31036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55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2021-07-22T00:01:00Z</dcterms:created>
  <dcterms:modified xsi:type="dcterms:W3CDTF">2021-07-22T00:01:00Z</dcterms:modified>
</cp:coreProperties>
</file>